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aps/>
          <w:color w:val="1B3A5C"/>
          <w:sz w:val="36"/>
          <w:szCs w:val="36"/>
        </w:rPr>
        <w:t xml:space="preserve">PROMISSORY NOTE</w:t>
      </w:r>
    </w:p>
    <w:p>
      <w:pPr>
        <w:spacing w:after="60" w:before="0"/>
        <w:jc w:val="center"/>
      </w:pPr>
      <w:r>
        <w:rPr>
          <w:rFonts w:ascii="Arial" w:cs="Arial" w:eastAsia="Arial" w:hAnsi="Arial"/>
          <w:b/>
          <w:bCs/>
          <w:color w:val="C9942A"/>
          <w:sz w:val="24"/>
          <w:szCs w:val="24"/>
        </w:rPr>
        <w:t xml:space="preserve">Shareholder Loan to S-Corporation</w:t>
      </w:r>
    </w:p>
    <w:p>
      <w:pPr>
        <w:spacing w:after="200" w:before="0"/>
        <w:jc w:val="center"/>
      </w:pPr>
      <w:r>
        <w:rPr>
          <w:rFonts w:ascii="Arial" w:cs="Arial" w:eastAsia="Arial" w:hAnsi="Arial"/>
          <w:i/>
          <w:iCs/>
          <w:color w:val="666666"/>
          <w:sz w:val="20"/>
          <w:szCs w:val="20"/>
        </w:rPr>
        <w:t xml:space="preserve">Template | Governed by the Laws of the State of North Carolina</w:t>
      </w:r>
    </w:p>
    <w:p>
      <w:pPr>
        <w:pBdr>
          <w:bottom w:val="single" w:color="C9942A" w:sz="8" w:space="1"/>
        </w:pBd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3E3" w:val="clear"/>
            <w:tcMar>
              <w:top w:type="dxa" w:w="160"/>
              <w:left w:type="dxa" w:w="240"/>
              <w:bottom w:type="dxa" w:w="160"/>
              <w:right w:type="dxa" w:w="240"/>
            </w:tcMar>
          </w:tcPr>
          <w:p>
            <w:pPr>
              <w:spacing w:after="0" w:before="0"/>
            </w:pPr>
            <w:r>
              <w:rPr>
                <w:rFonts w:ascii="Arial" w:cs="Arial" w:eastAsia="Arial" w:hAnsi="Arial"/>
                <w:b/>
                <w:bCs/>
                <w:color w:val="C9942A"/>
                <w:sz w:val="21"/>
                <w:szCs w:val="21"/>
              </w:rPr>
              <w:t xml:space="preserve">TEMPLATE INSTRUCTIONS:  </w:t>
            </w:r>
            <w:r>
              <w:rPr>
                <w:rFonts w:ascii="Arial" w:cs="Arial" w:eastAsia="Arial" w:hAnsi="Arial"/>
                <w:color w:val="333333"/>
                <w:sz w:val="21"/>
                <w:szCs w:val="21"/>
              </w:rPr>
              <w:t xml:space="preserve">Complete all bracketed fields before execution. Fields marked with an asterisk [*] require a board resolution or corporate authorization on file. Both parties must sign; retain one executed original in the corporate records book and one with the lender. This template was prepared by JJ&amp;A Accounting Services for use by its clients and does not constitute legal advice. Consult qualified legal counsel for transactions of significant size or complexity.</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B3A5C"/>
                <w:sz w:val="21"/>
                <w:szCs w:val="21"/>
              </w:rPr>
              <w:t xml:space="preserve">Note Date</w:t>
            </w:r>
          </w:p>
        </w:tc>
        <w:tc>
          <w:tcPr>
            <w:tcW w:type="dxa" w:w="64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B3A5C"/>
                <w:sz w:val="22"/>
                <w:szCs w:val="22"/>
                <w:u w:val="single"/>
              </w:rPr>
              <w:t xml:space="preserve">[Date of execution — e.g., January 1, 2026]</w:t>
            </w:r>
          </w:p>
        </w:tc>
      </w:tr>
      <w:tr>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1B3A5C"/>
                <w:sz w:val="21"/>
                <w:szCs w:val="21"/>
              </w:rPr>
              <w:t xml:space="preserve">Principal Amount</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1B3A5C"/>
                <w:sz w:val="22"/>
                <w:szCs w:val="22"/>
                <w:u w:val="single"/>
              </w:rPr>
              <w:t xml:space="preserve">[Dollar amount of loan — e.g., $5,000.00]</w:t>
            </w:r>
          </w:p>
        </w:tc>
      </w:tr>
      <w:tr>
        <w:tc>
          <w:tcPr>
            <w:tcW w:type="dxa" w:w="28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B3A5C"/>
                <w:sz w:val="21"/>
                <w:szCs w:val="21"/>
              </w:rPr>
              <w:t xml:space="preserve">Lender (Shareholder)</w:t>
            </w:r>
          </w:p>
        </w:tc>
        <w:tc>
          <w:tcPr>
            <w:tcW w:type="dxa" w:w="64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B3A5C"/>
                <w:sz w:val="22"/>
                <w:szCs w:val="22"/>
                <w:u w:val="single"/>
              </w:rPr>
              <w:t xml:space="preserve">[Full legal name of individual making the loan]</w:t>
            </w:r>
          </w:p>
        </w:tc>
      </w:tr>
      <w:tr>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1B3A5C"/>
                <w:sz w:val="21"/>
                <w:szCs w:val="21"/>
              </w:rPr>
              <w:t xml:space="preserve">Borrower (Corporation)</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1B3A5C"/>
                <w:sz w:val="22"/>
                <w:szCs w:val="22"/>
                <w:u w:val="single"/>
              </w:rPr>
              <w:t xml:space="preserve">[Full legal name of S-corporation — e.g., Samsons Construction Inc.]</w:t>
            </w:r>
          </w:p>
        </w:tc>
      </w:tr>
      <w:tr>
        <w:tc>
          <w:tcPr>
            <w:tcW w:type="dxa" w:w="28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B3A5C"/>
                <w:sz w:val="21"/>
                <w:szCs w:val="21"/>
              </w:rPr>
              <w:t xml:space="preserve">State of Incorporation</w:t>
            </w:r>
          </w:p>
        </w:tc>
        <w:tc>
          <w:tcPr>
            <w:tcW w:type="dxa" w:w="64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B3A5C"/>
                <w:sz w:val="22"/>
                <w:szCs w:val="22"/>
                <w:u w:val="single"/>
              </w:rPr>
              <w:t xml:space="preserve">[State — e.g., North Carolina]</w:t>
            </w:r>
          </w:p>
        </w:tc>
      </w:tr>
      <w:tr>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1B3A5C"/>
                <w:sz w:val="21"/>
                <w:szCs w:val="21"/>
              </w:rPr>
              <w:t xml:space="preserve">Interest Rate</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1"/>
                <w:szCs w:val="21"/>
              </w:rPr>
              <w:t xml:space="preserve">The Applicable Federal Rate (AFR) for short-term obligations as published by the IRS for the month of execution (IRC §1274(d))</w:t>
            </w:r>
          </w:p>
        </w:tc>
      </w:tr>
      <w:tr>
        <w:tc>
          <w:tcPr>
            <w:tcW w:type="dxa" w:w="28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B3A5C"/>
                <w:sz w:val="21"/>
                <w:szCs w:val="21"/>
              </w:rPr>
              <w:t xml:space="preserve">Repayment Structure</w:t>
            </w:r>
          </w:p>
        </w:tc>
        <w:tc>
          <w:tcPr>
            <w:tcW w:type="dxa" w:w="64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B3A5C"/>
                <w:sz w:val="22"/>
                <w:szCs w:val="22"/>
                <w:u w:val="single"/>
              </w:rPr>
              <w:t xml:space="preserve">[Circle or select: OPTION A — Scheduled  |  OPTION B — Demand]</w:t>
            </w:r>
          </w:p>
        </w:tc>
      </w:tr>
      <w:tr>
        <w:tc>
          <w:tcPr>
            <w:tcW w:type="dxa" w:w="28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1B3A5C"/>
                <w:sz w:val="21"/>
                <w:szCs w:val="21"/>
              </w:rPr>
              <w:t xml:space="preserve">Maturity Date (Option A only)</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1B3A5C"/>
                <w:sz w:val="22"/>
                <w:szCs w:val="22"/>
                <w:u w:val="single"/>
              </w:rPr>
              <w:t xml:space="preserve">[Final payment due date — e.g., December 31, 2027]</w:t>
            </w:r>
          </w:p>
        </w:tc>
      </w:tr>
    </w:tbl>
    <w:p>
      <w:pPr>
        <w:spacing w:after="0" w:before="280"/>
      </w:pPr>
      <w:r>
        <w:t xml:space="preserve"/>
      </w:r>
    </w:p>
    <w:p>
      <w:pPr>
        <w:pBdr>
          <w:bottom w:val="single" w:color="CCCCCC" w:sz="4" w:space="1"/>
        </w:pBdr>
        <w:spacing w:after="160" w:before="160"/>
      </w:pPr>
      <w:r>
        <w:t xml:space="preserve"/>
      </w:r>
    </w:p>
    <w:p>
      <w:pPr>
        <w:spacing w:after="120" w:before="0"/>
      </w:pPr>
      <w:r>
        <w:rPr>
          <w:rFonts w:ascii="Arial" w:cs="Arial" w:eastAsia="Arial" w:hAnsi="Arial"/>
          <w:b/>
          <w:bCs/>
          <w:caps/>
          <w:color w:val="1B3A5C"/>
          <w:sz w:val="23"/>
          <w:szCs w:val="23"/>
        </w:rPr>
        <w:t xml:space="preserve">RECITALS</w:t>
      </w:r>
    </w:p>
    <w:p>
      <w:pPr>
        <w:spacing w:after="80" w:before="80"/>
      </w:pPr>
      <w:r>
        <w:rPr>
          <w:rFonts w:ascii="Arial" w:cs="Arial" w:eastAsia="Arial" w:hAnsi="Arial"/>
          <w:b/>
          <w:bCs/>
          <w:color w:val="222222"/>
          <w:sz w:val="22"/>
          <w:szCs w:val="22"/>
        </w:rPr>
        <w:t xml:space="preserve">FOR VALUE RECEIVED, </w:t>
      </w:r>
      <w:r>
        <w:rPr>
          <w:rFonts w:ascii="Arial" w:cs="Arial" w:eastAsia="Arial" w:hAnsi="Arial"/>
          <w:b/>
          <w:bCs/>
          <w:color w:val="1B3A5C"/>
          <w:sz w:val="22"/>
          <w:szCs w:val="22"/>
          <w:u w:val="single"/>
        </w:rPr>
        <w:t xml:space="preserve">[Full legal name of S-corporation]</w:t>
      </w:r>
      <w:r>
        <w:rPr>
          <w:rFonts w:ascii="Arial" w:cs="Arial" w:eastAsia="Arial" w:hAnsi="Arial"/>
          <w:color w:val="222222"/>
          <w:sz w:val="22"/>
          <w:szCs w:val="22"/>
        </w:rPr>
        <w:t xml:space="preserve">, a </w:t>
      </w:r>
      <w:r>
        <w:rPr>
          <w:rFonts w:ascii="Arial" w:cs="Arial" w:eastAsia="Arial" w:hAnsi="Arial"/>
          <w:b/>
          <w:bCs/>
          <w:color w:val="1B3A5C"/>
          <w:sz w:val="22"/>
          <w:szCs w:val="22"/>
          <w:u w:val="single"/>
        </w:rPr>
        <w:t xml:space="preserve">[State]</w:t>
      </w:r>
      <w:r>
        <w:rPr>
          <w:rFonts w:ascii="Arial" w:cs="Arial" w:eastAsia="Arial" w:hAnsi="Arial"/>
          <w:color w:val="222222"/>
          <w:sz w:val="22"/>
          <w:szCs w:val="22"/>
        </w:rPr>
        <w:t xml:space="preserve"> S-corporation (the </w:t>
      </w:r>
      <w:r>
        <w:rPr>
          <w:rFonts w:ascii="Arial" w:cs="Arial" w:eastAsia="Arial" w:hAnsi="Arial"/>
          <w:b/>
          <w:bCs/>
          <w:color w:val="222222"/>
          <w:sz w:val="22"/>
          <w:szCs w:val="22"/>
        </w:rPr>
        <w:t xml:space="preserve">“Borrower”</w:t>
      </w:r>
      <w:r>
        <w:rPr>
          <w:rFonts w:ascii="Arial" w:cs="Arial" w:eastAsia="Arial" w:hAnsi="Arial"/>
          <w:color w:val="222222"/>
          <w:sz w:val="22"/>
          <w:szCs w:val="22"/>
        </w:rPr>
        <w:t xml:space="preserve">), promises to pay to the order of </w:t>
      </w:r>
      <w:r>
        <w:rPr>
          <w:rFonts w:ascii="Arial" w:cs="Arial" w:eastAsia="Arial" w:hAnsi="Arial"/>
          <w:b/>
          <w:bCs/>
          <w:color w:val="1B3A5C"/>
          <w:sz w:val="22"/>
          <w:szCs w:val="22"/>
          <w:u w:val="single"/>
        </w:rPr>
        <w:t xml:space="preserve">[Full legal name of shareholder/lender]</w:t>
      </w:r>
      <w:r>
        <w:rPr>
          <w:rFonts w:ascii="Arial" w:cs="Arial" w:eastAsia="Arial" w:hAnsi="Arial"/>
          <w:color w:val="222222"/>
          <w:sz w:val="22"/>
          <w:szCs w:val="22"/>
        </w:rPr>
        <w:t xml:space="preserve"> (the </w:t>
      </w:r>
      <w:r>
        <w:rPr>
          <w:rFonts w:ascii="Arial" w:cs="Arial" w:eastAsia="Arial" w:hAnsi="Arial"/>
          <w:b/>
          <w:bCs/>
          <w:color w:val="222222"/>
          <w:sz w:val="22"/>
          <w:szCs w:val="22"/>
        </w:rPr>
        <w:t xml:space="preserve">“Lender”</w:t>
      </w:r>
      <w:r>
        <w:rPr>
          <w:rFonts w:ascii="Arial" w:cs="Arial" w:eastAsia="Arial" w:hAnsi="Arial"/>
          <w:color w:val="222222"/>
          <w:sz w:val="22"/>
          <w:szCs w:val="22"/>
        </w:rPr>
        <w:t xml:space="preserve">), the principal sum of </w:t>
      </w:r>
      <w:r>
        <w:rPr>
          <w:rFonts w:ascii="Arial" w:cs="Arial" w:eastAsia="Arial" w:hAnsi="Arial"/>
          <w:b/>
          <w:bCs/>
          <w:color w:val="1B3A5C"/>
          <w:sz w:val="22"/>
          <w:szCs w:val="22"/>
          <w:u w:val="single"/>
        </w:rPr>
        <w:t xml:space="preserve">[$___,___.00 (written dollar amount)]</w:t>
      </w:r>
      <w:r>
        <w:rPr>
          <w:rFonts w:ascii="Arial" w:cs="Arial" w:eastAsia="Arial" w:hAnsi="Arial"/>
          <w:color w:val="222222"/>
          <w:sz w:val="22"/>
          <w:szCs w:val="22"/>
        </w:rPr>
        <w:t xml:space="preserve">, together with interest accruing on the unpaid principal balance from the date of this Note, on the terms and conditions set forth herein.</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60"/>
              <w:left w:type="dxa" w:w="240"/>
              <w:bottom w:type="dxa" w:w="160"/>
              <w:right w:type="dxa" w:w="240"/>
            </w:tcMar>
          </w:tcPr>
          <w:p>
            <w:pPr>
              <w:spacing w:after="0" w:before="0"/>
            </w:pPr>
            <w:r>
              <w:rPr>
                <w:rFonts w:ascii="Arial" w:cs="Arial" w:eastAsia="Arial" w:hAnsi="Arial"/>
                <w:b/>
                <w:bCs/>
                <w:color w:val="1B3A5C"/>
                <w:sz w:val="21"/>
                <w:szCs w:val="21"/>
              </w:rPr>
              <w:t xml:space="preserve">TRANSFER DOCUMENTATION REQUIRED:  </w:t>
            </w:r>
            <w:r>
              <w:rPr>
                <w:rFonts w:ascii="Arial" w:cs="Arial" w:eastAsia="Arial" w:hAnsi="Arial"/>
                <w:color w:val="333333"/>
                <w:sz w:val="21"/>
                <w:szCs w:val="21"/>
              </w:rPr>
              <w:t xml:space="preserve">This Note is valid only where the principal amount has been transferred by the Lender to the Borrower by check, wire transfer, ACH, or other verifiable means. A corresponding entry must be recorded in the corporation's books reflecting (a) the cash receipt and (b) the liability to the Lender. Book entries alone, without an actual cash transfer, will not establish debt basis for the Lender under IRC §1366(d).</w:t>
            </w:r>
          </w:p>
        </w:tc>
      </w:tr>
    </w:tbl>
    <w:p>
      <w:pPr>
        <w:spacing w:after="0" w:before="200"/>
      </w:pPr>
      <w:r>
        <w:t xml:space="preserve"/>
      </w:r>
    </w:p>
    <w:p>
      <w:pPr>
        <w:spacing w:after="100" w:before="280"/>
      </w:pPr>
      <w:r>
        <w:rPr>
          <w:rFonts w:ascii="Arial" w:cs="Arial" w:eastAsia="Arial" w:hAnsi="Arial"/>
          <w:b/>
          <w:bCs/>
          <w:color w:val="1B3A5C"/>
          <w:sz w:val="22"/>
          <w:szCs w:val="22"/>
        </w:rPr>
        <w:t>1.  Principal Amount</w:t>
      </w:r>
    </w:p>
    <w:p>
      <w:pPr>
        <w:spacing w:after="80" w:before="80"/>
      </w:pPr>
      <w:r>
        <w:rPr>
          <w:rFonts w:ascii="Arial" w:cs="Arial" w:eastAsia="Arial" w:hAnsi="Arial"/>
          <w:color w:val="222222"/>
          <w:sz w:val="22"/>
          <w:szCs w:val="22"/>
        </w:rPr>
        <w:t xml:space="preserve">The principal amount of this Note is </w:t>
      </w:r>
      <w:r>
        <w:rPr>
          <w:rFonts w:ascii="Arial" w:cs="Arial" w:eastAsia="Arial" w:hAnsi="Arial"/>
          <w:b/>
          <w:bCs/>
          <w:color w:val="1B3A5C"/>
          <w:sz w:val="22"/>
          <w:szCs w:val="22"/>
          <w:u w:val="single"/>
        </w:rPr>
        <w:t xml:space="preserve">[$___,___.00]</w:t>
      </w:r>
      <w:r>
        <w:rPr>
          <w:rFonts w:ascii="Arial" w:cs="Arial" w:eastAsia="Arial" w:hAnsi="Arial"/>
          <w:color w:val="222222"/>
          <w:sz w:val="22"/>
          <w:szCs w:val="22"/>
        </w:rPr>
        <w:t xml:space="preserve"> (the </w:t>
      </w:r>
      <w:r>
        <w:rPr>
          <w:rFonts w:ascii="Arial" w:cs="Arial" w:eastAsia="Arial" w:hAnsi="Arial"/>
          <w:b/>
          <w:bCs/>
          <w:color w:val="222222"/>
          <w:sz w:val="22"/>
          <w:szCs w:val="22"/>
        </w:rPr>
        <w:t xml:space="preserve">“Principal”</w:t>
      </w:r>
      <w:r>
        <w:rPr>
          <w:rFonts w:ascii="Arial" w:cs="Arial" w:eastAsia="Arial" w:hAnsi="Arial"/>
          <w:color w:val="222222"/>
          <w:sz w:val="22"/>
          <w:szCs w:val="22"/>
        </w:rPr>
        <w:t xml:space="preserve">). The Borrower acknowledges receipt of the Principal in full as of the Note Date set forth above, transferred by the Lender via </w:t>
      </w:r>
      <w:r>
        <w:rPr>
          <w:rFonts w:ascii="Arial" w:cs="Arial" w:eastAsia="Arial" w:hAnsi="Arial"/>
          <w:b/>
          <w:bCs/>
          <w:color w:val="1B3A5C"/>
          <w:sz w:val="22"/>
          <w:szCs w:val="22"/>
          <w:u w:val="single"/>
        </w:rPr>
        <w:t xml:space="preserve">[check / wire transfer / ACH / other — describe]</w:t>
      </w:r>
      <w:r>
        <w:rPr>
          <w:rFonts w:ascii="Arial" w:cs="Arial" w:eastAsia="Arial" w:hAnsi="Arial"/>
          <w:color w:val="222222"/>
          <w:sz w:val="22"/>
          <w:szCs w:val="22"/>
        </w:rPr>
        <w:t xml:space="preserve">, a copy of which is attached hereto as </w:t>
      </w:r>
      <w:r>
        <w:rPr>
          <w:rFonts w:ascii="Arial" w:cs="Arial" w:eastAsia="Arial" w:hAnsi="Arial"/>
          <w:b/>
          <w:bCs/>
          <w:color w:val="222222"/>
          <w:sz w:val="22"/>
          <w:szCs w:val="22"/>
        </w:rPr>
        <w:t xml:space="preserve">Exhibit A</w:t>
      </w:r>
      <w:r>
        <w:rPr>
          <w:rFonts w:ascii="Arial" w:cs="Arial" w:eastAsia="Arial" w:hAnsi="Arial"/>
          <w:color w:val="222222"/>
          <w:sz w:val="22"/>
          <w:szCs w:val="22"/>
        </w:rPr>
        <w:t xml:space="preserve"> and incorporated herein by reference.</w:t>
      </w:r>
    </w:p>
    <w:p>
      <w:pPr>
        <w:spacing w:after="100" w:before="280"/>
      </w:pPr>
      <w:r>
        <w:rPr>
          <w:rFonts w:ascii="Arial" w:cs="Arial" w:eastAsia="Arial" w:hAnsi="Arial"/>
          <w:b/>
          <w:bCs/>
          <w:color w:val="1B3A5C"/>
          <w:sz w:val="22"/>
          <w:szCs w:val="22"/>
        </w:rPr>
        <w:t>2.  Interest Rate</w:t>
      </w:r>
    </w:p>
    <w:p>
      <w:pPr>
        <w:spacing w:after="80" w:before="80"/>
      </w:pPr>
      <w:r>
        <w:rPr>
          <w:rFonts w:ascii="Arial" w:cs="Arial" w:eastAsia="Arial" w:hAnsi="Arial"/>
          <w:color w:val="222222"/>
          <w:sz w:val="22"/>
          <w:szCs w:val="22"/>
        </w:rPr>
        <w:t xml:space="preserve">Interest shall accrue on the unpaid Principal balance at a fixed annual rate equal to the Applicable Federal Rate (</w:t>
      </w:r>
      <w:r>
        <w:rPr>
          <w:rFonts w:ascii="Arial" w:cs="Arial" w:eastAsia="Arial" w:hAnsi="Arial"/>
          <w:b/>
          <w:bCs/>
          <w:color w:val="222222"/>
          <w:sz w:val="22"/>
          <w:szCs w:val="22"/>
        </w:rPr>
        <w:t xml:space="preserve">“AFR”</w:t>
      </w:r>
      <w:r>
        <w:rPr>
          <w:rFonts w:ascii="Arial" w:cs="Arial" w:eastAsia="Arial" w:hAnsi="Arial"/>
          <w:color w:val="222222"/>
          <w:sz w:val="22"/>
          <w:szCs w:val="22"/>
        </w:rPr>
        <w:t xml:space="preserve">) for short-term obligations (obligations with a term of three years or less) as published by the Internal Revenue Service pursuant to IRC §1274(d) for the calendar month in which this Note is executed. The applicable AFR in effect for </w:t>
      </w:r>
      <w:r>
        <w:rPr>
          <w:rFonts w:ascii="Arial" w:cs="Arial" w:eastAsia="Arial" w:hAnsi="Arial"/>
          <w:b/>
          <w:bCs/>
          <w:color w:val="1B3A5C"/>
          <w:sz w:val="22"/>
          <w:szCs w:val="22"/>
          <w:u w:val="single"/>
        </w:rPr>
        <w:t xml:space="preserve">[Month, Year]</w:t>
      </w:r>
      <w:r>
        <w:rPr>
          <w:rFonts w:ascii="Arial" w:cs="Arial" w:eastAsia="Arial" w:hAnsi="Arial"/>
          <w:color w:val="222222"/>
          <w:sz w:val="22"/>
          <w:szCs w:val="22"/>
        </w:rPr>
        <w:t xml:space="preserve"> is </w:t>
      </w:r>
      <w:r>
        <w:rPr>
          <w:rFonts w:ascii="Arial" w:cs="Arial" w:eastAsia="Arial" w:hAnsi="Arial"/>
          <w:b/>
          <w:bCs/>
          <w:color w:val="1B3A5C"/>
          <w:sz w:val="22"/>
          <w:szCs w:val="22"/>
          <w:u w:val="single"/>
        </w:rPr>
        <w:t xml:space="preserve">[___.__%]</w:t>
      </w:r>
      <w:r>
        <w:rPr>
          <w:rFonts w:ascii="Arial" w:cs="Arial" w:eastAsia="Arial" w:hAnsi="Arial"/>
          <w:color w:val="222222"/>
          <w:sz w:val="22"/>
          <w:szCs w:val="22"/>
        </w:rPr>
        <w:t xml:space="preserve"> per annum, compounded </w:t>
      </w:r>
      <w:r>
        <w:rPr>
          <w:rFonts w:ascii="Arial" w:cs="Arial" w:eastAsia="Arial" w:hAnsi="Arial"/>
          <w:b/>
          <w:bCs/>
          <w:color w:val="1B3A5C"/>
          <w:sz w:val="22"/>
          <w:szCs w:val="22"/>
          <w:u w:val="single"/>
        </w:rPr>
        <w:t xml:space="preserve">[monthly / semi-annually / annually]</w:t>
      </w:r>
      <w:r>
        <w:rPr>
          <w:rFonts w:ascii="Arial" w:cs="Arial" w:eastAsia="Arial" w:hAnsi="Arial"/>
          <w:color w:val="222222"/>
          <w:sz w:val="22"/>
          <w:szCs w:val="22"/>
        </w:rPr>
        <w:t xml:space="preserve">. Interest shall be calculated on the basis of a 365-day year.</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3E3" w:val="clear"/>
            <w:tcMar>
              <w:top w:type="dxa" w:w="160"/>
              <w:left w:type="dxa" w:w="240"/>
              <w:bottom w:type="dxa" w:w="160"/>
              <w:right w:type="dxa" w:w="240"/>
            </w:tcMar>
          </w:tcPr>
          <w:p>
            <w:pPr>
              <w:spacing w:after="0" w:before="0"/>
            </w:pPr>
            <w:r>
              <w:rPr>
                <w:rFonts w:ascii="Arial" w:cs="Arial" w:eastAsia="Arial" w:hAnsi="Arial"/>
                <w:b/>
                <w:bCs/>
                <w:color w:val="C9942A"/>
                <w:sz w:val="21"/>
                <w:szCs w:val="21"/>
              </w:rPr>
              <w:t xml:space="preserve">AFR REFERENCE:  </w:t>
            </w:r>
            <w:r>
              <w:rPr>
                <w:rFonts w:ascii="Arial" w:cs="Arial" w:eastAsia="Arial" w:hAnsi="Arial"/>
                <w:color w:val="333333"/>
                <w:sz w:val="21"/>
                <w:szCs w:val="21"/>
              </w:rPr>
              <w:t xml:space="preserve">The current AFR is published monthly in an IRS Revenue Ruling (e.g., Rev. Rul. 2026-XX). Confirm the applicable rate at irs.gov or through JJ&amp;A before executing this Note. Using a rate below the AFR triggers imputed interest rules under IRC §7872, which can create phantom income for the Lender.</w:t>
            </w:r>
          </w:p>
        </w:tc>
      </w:tr>
    </w:tbl>
    <w:p>
      <w:pPr>
        <w:spacing w:after="100" w:before="280"/>
      </w:pPr>
      <w:r>
        <w:rPr>
          <w:rFonts w:ascii="Arial" w:cs="Arial" w:eastAsia="Arial" w:hAnsi="Arial"/>
          <w:b/>
          <w:bCs/>
          <w:color w:val="1B3A5C"/>
          <w:sz w:val="22"/>
          <w:szCs w:val="22"/>
        </w:rPr>
        <w:t>3.  Repayment Terms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6"/>
              <w:left w:val="single" w:color="1B3A5C" w:sz="6"/>
              <w:bottom w:val="single" w:color="1B3A5C" w:sz="6"/>
              <w:right w:val="single" w:color="1B3A5C" w:sz="6"/>
            </w:tcBorders>
            <w:shd w:fill="F5F5F5" w:val="clear"/>
            <w:tcMar>
              <w:top w:type="dxa" w:w="160"/>
              <w:left w:type="dxa" w:w="200"/>
              <w:bottom w:type="dxa" w:w="160"/>
              <w:right w:type="dxa" w:w="200"/>
            </w:tcMar>
          </w:tcPr>
          <w:p>
            <w:pPr>
              <w:spacing w:after="120" w:before="0"/>
            </w:pPr>
            <w:r>
              <w:rPr>
                <w:rFonts w:ascii="Arial" w:cs="Arial" w:eastAsia="Arial" w:hAnsi="Arial"/>
                <w:b/>
                <w:bCs/>
                <w:color w:val="1B3A5C"/>
                <w:sz w:val="22"/>
                <w:szCs w:val="22"/>
              </w:rPr>
              <w:t xml:space="preserve">OPTION A  —  SCHEDULED REPAYMENT</w:t>
            </w:r>
          </w:p>
          <w:p>
            <w:pPr>
              <w:spacing w:after="100" w:before="0"/>
            </w:pPr>
            <w:r>
              <w:rPr>
                <w:rFonts w:ascii="Arial" w:cs="Arial" w:eastAsia="Arial" w:hAnsi="Arial"/>
                <w:color w:val="333333"/>
                <w:sz w:val="22"/>
                <w:szCs w:val="22"/>
              </w:rPr>
              <w:t xml:space="preserve">If Option A is selected, the Borrower shall repay the Principal, together with accrued interest, in </w:t>
            </w:r>
            <w:r>
              <w:rPr>
                <w:rFonts w:ascii="Arial" w:cs="Arial" w:eastAsia="Arial" w:hAnsi="Arial"/>
                <w:b/>
                <w:bCs/>
                <w:color w:val="1B3A5C"/>
                <w:sz w:val="22"/>
                <w:szCs w:val="22"/>
                <w:u w:val="single"/>
              </w:rPr>
              <w:t xml:space="preserve">[NUMBER]</w:t>
            </w:r>
            <w:r>
              <w:rPr>
                <w:rFonts w:ascii="Arial" w:cs="Arial" w:eastAsia="Arial" w:hAnsi="Arial"/>
                <w:color w:val="333333"/>
                <w:sz w:val="22"/>
                <w:szCs w:val="22"/>
              </w:rPr>
              <w:t xml:space="preserve"> equal consecutive </w:t>
            </w:r>
            <w:r>
              <w:rPr>
                <w:rFonts w:ascii="Arial" w:cs="Arial" w:eastAsia="Arial" w:hAnsi="Arial"/>
                <w:b/>
                <w:bCs/>
                <w:color w:val="1B3A5C"/>
                <w:sz w:val="22"/>
                <w:szCs w:val="22"/>
                <w:u w:val="single"/>
              </w:rPr>
              <w:t xml:space="preserve">[monthly / quarterly / annual]</w:t>
            </w:r>
            <w:r>
              <w:rPr>
                <w:rFonts w:ascii="Arial" w:cs="Arial" w:eastAsia="Arial" w:hAnsi="Arial"/>
                <w:color w:val="333333"/>
                <w:sz w:val="22"/>
                <w:szCs w:val="22"/>
              </w:rPr>
              <w:t xml:space="preserve"> installments of </w:t>
            </w:r>
            <w:r>
              <w:rPr>
                <w:rFonts w:ascii="Arial" w:cs="Arial" w:eastAsia="Arial" w:hAnsi="Arial"/>
                <w:b/>
                <w:bCs/>
                <w:color w:val="1B3A5C"/>
                <w:sz w:val="22"/>
                <w:szCs w:val="22"/>
                <w:u w:val="single"/>
              </w:rPr>
              <w:t xml:space="preserve">[$___.___ ]</w:t>
            </w:r>
            <w:r>
              <w:rPr>
                <w:rFonts w:ascii="Arial" w:cs="Arial" w:eastAsia="Arial" w:hAnsi="Arial"/>
                <w:color w:val="333333"/>
                <w:sz w:val="22"/>
                <w:szCs w:val="22"/>
              </w:rPr>
              <w:t xml:space="preserve"> each, commencing on </w:t>
            </w:r>
            <w:r>
              <w:rPr>
                <w:rFonts w:ascii="Arial" w:cs="Arial" w:eastAsia="Arial" w:hAnsi="Arial"/>
                <w:b/>
                <w:bCs/>
                <w:color w:val="1B3A5C"/>
                <w:sz w:val="22"/>
                <w:szCs w:val="22"/>
                <w:u w:val="single"/>
              </w:rPr>
              <w:t xml:space="preserve">[First Payment Date]</w:t>
            </w:r>
            <w:r>
              <w:rPr>
                <w:rFonts w:ascii="Arial" w:cs="Arial" w:eastAsia="Arial" w:hAnsi="Arial"/>
                <w:color w:val="333333"/>
                <w:sz w:val="22"/>
                <w:szCs w:val="22"/>
              </w:rPr>
              <w:t xml:space="preserve"> and on the same day of each </w:t>
            </w:r>
            <w:r>
              <w:rPr>
                <w:rFonts w:ascii="Arial" w:cs="Arial" w:eastAsia="Arial" w:hAnsi="Arial"/>
                <w:b/>
                <w:bCs/>
                <w:color w:val="1B3A5C"/>
                <w:sz w:val="22"/>
                <w:szCs w:val="22"/>
                <w:u w:val="single"/>
              </w:rPr>
              <w:t xml:space="preserve">[month / quarter / year]</w:t>
            </w:r>
            <w:r>
              <w:rPr>
                <w:rFonts w:ascii="Arial" w:cs="Arial" w:eastAsia="Arial" w:hAnsi="Arial"/>
                <w:color w:val="333333"/>
                <w:sz w:val="22"/>
                <w:szCs w:val="22"/>
              </w:rPr>
              <w:t xml:space="preserve"> thereafter until the entire Principal balance and all accrued interest have been paid in full. The final installment shall be due and payable on </w:t>
            </w:r>
            <w:r>
              <w:rPr>
                <w:rFonts w:ascii="Arial" w:cs="Arial" w:eastAsia="Arial" w:hAnsi="Arial"/>
                <w:b/>
                <w:bCs/>
                <w:color w:val="1B3A5C"/>
                <w:sz w:val="22"/>
                <w:szCs w:val="22"/>
                <w:u w:val="single"/>
              </w:rPr>
              <w:t xml:space="preserve">[Maturity Date]</w:t>
            </w:r>
            <w:r>
              <w:rPr>
                <w:rFonts w:ascii="Arial" w:cs="Arial" w:eastAsia="Arial" w:hAnsi="Arial"/>
                <w:color w:val="333333"/>
                <w:sz w:val="22"/>
                <w:szCs w:val="22"/>
              </w:rPr>
              <w:t xml:space="preserve"> (the “Maturity Date”).</w:t>
            </w:r>
          </w:p>
          <w:p>
            <w:pPr>
              <w:spacing w:after="0" w:before="0"/>
            </w:pPr>
            <w:r>
              <w:rPr>
                <w:rFonts w:ascii="Arial" w:cs="Arial" w:eastAsia="Arial" w:hAnsi="Arial"/>
                <w:color w:val="333333"/>
                <w:sz w:val="22"/>
                <w:szCs w:val="22"/>
              </w:rPr>
              <w:t xml:space="preserve">Payments shall be applied first to accrued and unpaid interest, then to the outstanding Principal balance.</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942A" w:sz="6"/>
              <w:left w:val="single" w:color="C9942A" w:sz="6"/>
              <w:bottom w:val="single" w:color="C9942A" w:sz="6"/>
              <w:right w:val="single" w:color="C9942A" w:sz="6"/>
            </w:tcBorders>
            <w:shd w:fill="FDF3E3" w:val="clear"/>
            <w:tcMar>
              <w:top w:type="dxa" w:w="160"/>
              <w:left w:type="dxa" w:w="200"/>
              <w:bottom w:type="dxa" w:w="160"/>
              <w:right w:type="dxa" w:w="200"/>
            </w:tcMar>
          </w:tcPr>
          <w:p>
            <w:pPr>
              <w:spacing w:after="120" w:before="0"/>
            </w:pPr>
            <w:r>
              <w:rPr>
                <w:rFonts w:ascii="Arial" w:cs="Arial" w:eastAsia="Arial" w:hAnsi="Arial"/>
                <w:b/>
                <w:bCs/>
                <w:color w:val="C9942A"/>
                <w:sz w:val="22"/>
                <w:szCs w:val="22"/>
              </w:rPr>
              <w:t xml:space="preserve">OPTION B  —  DEMAND NOTE</w:t>
            </w:r>
          </w:p>
          <w:p>
            <w:pPr>
              <w:spacing w:after="100" w:before="0"/>
            </w:pPr>
            <w:r>
              <w:rPr>
                <w:rFonts w:ascii="Arial" w:cs="Arial" w:eastAsia="Arial" w:hAnsi="Arial"/>
                <w:color w:val="333333"/>
                <w:sz w:val="22"/>
                <w:szCs w:val="22"/>
              </w:rPr>
              <w:t xml:space="preserve">If Option B is selected, the entire outstanding Principal balance, together with all accrued and unpaid interest, shall be due and payable ON DEMAND by the Lender upon written notice to the Borrower. The Borrower shall make payment in full within thirty (30) calendar days of receipt of such written demand.</w:t>
            </w:r>
          </w:p>
          <w:p>
            <w:pPr>
              <w:spacing w:after="0" w:before="0"/>
            </w:pPr>
            <w:r>
              <w:rPr>
                <w:rFonts w:ascii="Arial" w:cs="Arial" w:eastAsia="Arial" w:hAnsi="Arial"/>
                <w:i/>
                <w:iCs/>
                <w:color w:val="666666"/>
                <w:sz w:val="21"/>
                <w:szCs w:val="21"/>
              </w:rPr>
              <w:t xml:space="preserve">Note: Demand notes with no fixed maturity require heightened documentation to establish genuine debt characterization for IRS purposes. Consult JJ&amp;A if Option B is selected for loans expected to remain outstanding beyond twelve (12) months.</w:t>
            </w:r>
          </w:p>
        </w:tc>
      </w:tr>
    </w:tbl>
    <w:p>
      <w:pPr>
        <w:spacing w:after="100" w:before="280"/>
      </w:pPr>
      <w:r>
        <w:rPr>
          <w:rFonts w:ascii="Arial" w:cs="Arial" w:eastAsia="Arial" w:hAnsi="Arial"/>
          <w:b/>
          <w:bCs/>
          <w:color w:val="1B3A5C"/>
          <w:sz w:val="22"/>
          <w:szCs w:val="22"/>
        </w:rPr>
        <w:t>4.  Prepayment</w:t>
      </w:r>
    </w:p>
    <w:p>
      <w:pPr>
        <w:spacing w:after="80" w:before="80"/>
      </w:pPr>
      <w:r>
        <w:rPr>
          <w:rFonts w:ascii="Arial" w:cs="Arial" w:eastAsia="Arial" w:hAnsi="Arial"/>
          <w:color w:val="222222"/>
          <w:sz w:val="22"/>
          <w:szCs w:val="22"/>
        </w:rPr>
        <w:t xml:space="preserve">The Borrower may prepay this Note, in whole or in part, at any time without penalty or premium. Any partial prepayment shall be applied first to accrued and unpaid interest and then to the outstanding Principal balance. Prepayment shall not alter the Borrower’s obligation to make any scheduled installment payments due prior to the date of prepayment under Option A, unless the prepayment constitutes full satisfaction of all amounts outstanding.</w:t>
      </w:r>
    </w:p>
    <w:p>
      <w:pPr>
        <w:spacing w:after="100" w:before="280"/>
      </w:pPr>
      <w:r>
        <w:rPr>
          <w:rFonts w:ascii="Arial" w:cs="Arial" w:eastAsia="Arial" w:hAnsi="Arial"/>
          <w:b/>
          <w:bCs/>
          <w:color w:val="1B3A5C"/>
          <w:sz w:val="22"/>
          <w:szCs w:val="22"/>
        </w:rPr>
        <w:t>5.  Events of Default</w:t>
      </w:r>
    </w:p>
    <w:p>
      <w:pPr>
        <w:spacing w:after="80" w:before="80"/>
      </w:pPr>
      <w:r>
        <w:rPr>
          <w:rFonts w:ascii="Arial" w:cs="Arial" w:eastAsia="Arial" w:hAnsi="Arial"/>
          <w:color w:val="222222"/>
          <w:sz w:val="22"/>
          <w:szCs w:val="22"/>
        </w:rPr>
        <w:t xml:space="preserve">Each of the following shall constitute an event of default (each, an “Event of Default”) under this Note:</w:t>
      </w:r>
    </w:p>
    <w:p>
      <w:pPr>
        <w:spacing w:after="0" w:before="60"/>
      </w:pPr>
      <w:r>
        <w:t xml:space="preserve"/>
      </w:r>
    </w:p>
    <w:p>
      <w:pPr>
        <w:pStyle w:val="ListParagraph"/>
        <w:numPr>
          <w:ilvl w:val="0"/>
          <w:numId w:val="2"/>
        </w:numPr>
        <w:spacing w:after="60" w:before="60"/>
      </w:pPr>
      <w:r>
        <w:rPr>
          <w:rFonts w:ascii="Arial" w:cs="Arial" w:eastAsia="Arial" w:hAnsi="Arial"/>
          <w:color w:val="222222"/>
          <w:sz w:val="22"/>
          <w:szCs w:val="22"/>
        </w:rPr>
        <w:t xml:space="preserve">The Borrower fails to make any payment of Principal or interest within fifteen (15) calendar days of its due date;</w:t>
      </w:r>
    </w:p>
    <w:p>
      <w:pPr>
        <w:pStyle w:val="ListParagraph"/>
        <w:numPr>
          <w:ilvl w:val="0"/>
          <w:numId w:val="2"/>
        </w:numPr>
        <w:spacing w:after="60" w:before="60"/>
      </w:pPr>
      <w:r>
        <w:rPr>
          <w:rFonts w:ascii="Arial" w:cs="Arial" w:eastAsia="Arial" w:hAnsi="Arial"/>
          <w:color w:val="222222"/>
          <w:sz w:val="22"/>
          <w:szCs w:val="22"/>
        </w:rPr>
        <w:t xml:space="preserve">The Borrower (i) becomes insolvent, (ii) makes a general assignment for the benefit of creditors, (iii) commences a voluntary proceeding under any bankruptcy or insolvency law, or (iv) has an involuntary proceeding commenced against it that is not dismissed within sixty (60) days;</w:t>
      </w:r>
    </w:p>
    <w:p>
      <w:pPr>
        <w:pStyle w:val="ListParagraph"/>
        <w:numPr>
          <w:ilvl w:val="0"/>
          <w:numId w:val="2"/>
        </w:numPr>
        <w:spacing w:after="60" w:before="60"/>
      </w:pPr>
      <w:r>
        <w:rPr>
          <w:rFonts w:ascii="Arial" w:cs="Arial" w:eastAsia="Arial" w:hAnsi="Arial"/>
          <w:color w:val="222222"/>
          <w:sz w:val="22"/>
          <w:szCs w:val="22"/>
        </w:rPr>
        <w:t xml:space="preserve">The Borrower dissolves, winds up, or ceases to conduct business in the ordinary course.</w:t>
      </w:r>
    </w:p>
    <w:p>
      <w:pPr>
        <w:spacing w:after="0" w:before="80"/>
      </w:pPr>
      <w:r>
        <w:t xml:space="preserve"/>
      </w:r>
    </w:p>
    <w:p>
      <w:pPr>
        <w:spacing w:after="80" w:before="80"/>
      </w:pPr>
      <w:r>
        <w:rPr>
          <w:rFonts w:ascii="Arial" w:cs="Arial" w:eastAsia="Arial" w:hAnsi="Arial"/>
          <w:color w:val="222222"/>
          <w:sz w:val="22"/>
          <w:szCs w:val="22"/>
        </w:rPr>
        <w:t xml:space="preserve">Upon the occurrence of an Event of Default, the entire outstanding Principal balance and all accrued and unpaid interest shall, at the Lender’s option, become immediately due and payable without further notice or demand.</w:t>
      </w:r>
    </w:p>
    <w:p>
      <w:pPr>
        <w:spacing w:after="100" w:before="280"/>
      </w:pPr>
      <w:r>
        <w:rPr>
          <w:rFonts w:ascii="Arial" w:cs="Arial" w:eastAsia="Arial" w:hAnsi="Arial"/>
          <w:b/>
          <w:bCs/>
          <w:color w:val="1B3A5C"/>
          <w:sz w:val="22"/>
          <w:szCs w:val="22"/>
        </w:rPr>
        <w:t>6.  Shareholder Debt Basis; Tax Treatment</w:t>
      </w:r>
    </w:p>
    <w:p>
      <w:pPr>
        <w:spacing w:after="80" w:before="80"/>
      </w:pPr>
      <w:r>
        <w:rPr>
          <w:rFonts w:ascii="Arial" w:cs="Arial" w:eastAsia="Arial" w:hAnsi="Arial"/>
          <w:color w:val="222222"/>
          <w:sz w:val="22"/>
          <w:szCs w:val="22"/>
        </w:rPr>
        <w:t xml:space="preserve">The parties acknowledge that this Note is intended to constitute a bona fide indebtedness of the Borrower to the Lender for federal and state income tax purposes, and that the Lender intends to treat the loan as creating debt basis in the S-corporation under IRC §1366(d)(1)(B). The parties agree to treat this transaction consistently on their respective tax returns and to cooperate in providing any documentation requested by the Internal Revenue Service or any state taxing authority in connection with this Note.</w:t>
      </w:r>
    </w:p>
    <w:p>
      <w:pPr>
        <w:spacing w:after="0" w:before="80"/>
      </w:pPr>
      <w:r>
        <w:t xml:space="preserve"/>
      </w:r>
    </w:p>
    <w:p>
      <w:pPr>
        <w:spacing w:after="80" w:before="80"/>
      </w:pPr>
      <w:r>
        <w:rPr>
          <w:rFonts w:ascii="Arial" w:cs="Arial" w:eastAsia="Arial" w:hAnsi="Arial"/>
          <w:color w:val="222222"/>
          <w:sz w:val="22"/>
          <w:szCs w:val="22"/>
        </w:rPr>
        <w:t xml:space="preserve">The Borrower’s repayment of Principal shall not be treated as a distribution to the Lender. Interest payments received by the Lender shall be reported as interest income on the Lender’s personal return for the taxable year in which received.</w:t>
      </w:r>
    </w:p>
    <w:p>
      <w:pPr>
        <w:spacing w:after="100" w:before="280"/>
      </w:pPr>
      <w:r>
        <w:rPr>
          <w:rFonts w:ascii="Arial" w:cs="Arial" w:eastAsia="Arial" w:hAnsi="Arial"/>
          <w:b/>
          <w:bCs/>
          <w:color w:val="1B3A5C"/>
          <w:sz w:val="22"/>
          <w:szCs w:val="22"/>
        </w:rPr>
        <w:t>7.  Corporate Authorization</w:t>
      </w:r>
    </w:p>
    <w:p>
      <w:pPr>
        <w:spacing w:after="80" w:before="80"/>
      </w:pPr>
      <w:r>
        <w:rPr>
          <w:rFonts w:ascii="Arial" w:cs="Arial" w:eastAsia="Arial" w:hAnsi="Arial"/>
          <w:color w:val="222222"/>
          <w:sz w:val="22"/>
          <w:szCs w:val="22"/>
        </w:rPr>
        <w:t xml:space="preserve">The Borrower represents and warrants that (a) it is duly organized and in good standing under the laws of the State of </w:t>
      </w:r>
      <w:r>
        <w:rPr>
          <w:rFonts w:ascii="Arial" w:cs="Arial" w:eastAsia="Arial" w:hAnsi="Arial"/>
          <w:b/>
          <w:bCs/>
          <w:color w:val="1B3A5C"/>
          <w:sz w:val="22"/>
          <w:szCs w:val="22"/>
          <w:u w:val="single"/>
        </w:rPr>
        <w:t xml:space="preserve">[State of Incorporation]</w:t>
      </w:r>
      <w:r>
        <w:rPr>
          <w:rFonts w:ascii="Arial" w:cs="Arial" w:eastAsia="Arial" w:hAnsi="Arial"/>
          <w:color w:val="222222"/>
          <w:sz w:val="22"/>
          <w:szCs w:val="22"/>
        </w:rPr>
        <w:t xml:space="preserve">; (b) the execution, delivery, and performance of this Note have been duly authorized by all necessary corporate action, including, if required by the Borrower’s governing documents, approval by the Board of Directors; and (c) this Note constitutes a legal, valid, and binding obligation of the Borrower, enforceable in accordance with its terms.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60"/>
              <w:left w:type="dxa" w:w="240"/>
              <w:bottom w:type="dxa" w:w="160"/>
              <w:right w:type="dxa" w:w="240"/>
            </w:tcMar>
          </w:tcPr>
          <w:p>
            <w:pPr>
              <w:spacing w:after="0" w:before="0"/>
            </w:pPr>
            <w:r>
              <w:rPr>
                <w:rFonts w:ascii="Arial" w:cs="Arial" w:eastAsia="Arial" w:hAnsi="Arial"/>
                <w:b/>
                <w:bCs/>
                <w:color w:val="1B3A5C"/>
                <w:sz w:val="21"/>
                <w:szCs w:val="21"/>
              </w:rPr>
              <w:t xml:space="preserve">AUTHORIZATION NOTE:  </w:t>
            </w:r>
            <w:r>
              <w:rPr>
                <w:rFonts w:ascii="Arial" w:cs="Arial" w:eastAsia="Arial" w:hAnsi="Arial"/>
                <w:color w:val="333333"/>
                <w:sz w:val="21"/>
                <w:szCs w:val="21"/>
              </w:rPr>
              <w:t xml:space="preserve">A board resolution or written consent of the sole director/shareholder authorizing this loan should be prepared concurrently with this Note and retained in the corporate records book. JJ&amp;A can prepare this documentation upon request.</w:t>
            </w:r>
          </w:p>
        </w:tc>
      </w:tr>
    </w:tbl>
    <w:p>
      <w:pPr>
        <w:spacing w:after="100" w:before="280"/>
      </w:pPr>
      <w:r>
        <w:rPr>
          <w:rFonts w:ascii="Arial" w:cs="Arial" w:eastAsia="Arial" w:hAnsi="Arial"/>
          <w:b/>
          <w:bCs/>
          <w:color w:val="1B3A5C"/>
          <w:sz w:val="22"/>
          <w:szCs w:val="22"/>
        </w:rPr>
        <w:t>8.  Usury Savings Clause</w:t>
      </w:r>
    </w:p>
    <w:p>
      <w:pPr>
        <w:spacing w:after="80" w:before="80"/>
      </w:pPr>
      <w:r>
        <w:rPr>
          <w:rFonts w:ascii="Arial" w:cs="Arial" w:eastAsia="Arial" w:hAnsi="Arial"/>
          <w:color w:val="222222"/>
          <w:sz w:val="22"/>
          <w:szCs w:val="22"/>
        </w:rPr>
        <w:t xml:space="preserve">Notwithstanding any other provision of this Note, in no event shall interest accrue or be payable at a rate exceeding the maximum rate permitted by applicable law. If any payment of interest would cause the interest to exceed such maximum rate, the amount of such excess shall be applied to reduce the outstanding Principal balance.</w:t>
      </w:r>
    </w:p>
    <w:p>
      <w:pPr>
        <w:spacing w:after="100" w:before="280"/>
      </w:pPr>
      <w:r>
        <w:rPr>
          <w:rFonts w:ascii="Arial" w:cs="Arial" w:eastAsia="Arial" w:hAnsi="Arial"/>
          <w:b/>
          <w:bCs/>
          <w:color w:val="1B3A5C"/>
          <w:sz w:val="22"/>
          <w:szCs w:val="22"/>
        </w:rPr>
        <w:t>9.  Governing Law; Venue</w:t>
      </w:r>
    </w:p>
    <w:p>
      <w:pPr>
        <w:spacing w:after="80" w:before="80"/>
      </w:pPr>
      <w:r>
        <w:rPr>
          <w:rFonts w:ascii="Arial" w:cs="Arial" w:eastAsia="Arial" w:hAnsi="Arial"/>
          <w:color w:val="222222"/>
          <w:sz w:val="22"/>
          <w:szCs w:val="22"/>
        </w:rPr>
        <w:t xml:space="preserve">This Note shall be governed by and construed in accordance with the laws of the State of North Carolina, without regard to its conflict of laws principles. Any dispute arising out of or relating to this Note shall be resolved in the state or federal courts of competent jurisdiction located in </w:t>
      </w:r>
      <w:r>
        <w:rPr>
          <w:rFonts w:ascii="Arial" w:cs="Arial" w:eastAsia="Arial" w:hAnsi="Arial"/>
          <w:b/>
          <w:bCs/>
          <w:color w:val="1B3A5C"/>
          <w:sz w:val="22"/>
          <w:szCs w:val="22"/>
          <w:u w:val="single"/>
        </w:rPr>
        <w:t xml:space="preserve">[County]</w:t>
      </w:r>
      <w:r>
        <w:rPr>
          <w:rFonts w:ascii="Arial" w:cs="Arial" w:eastAsia="Arial" w:hAnsi="Arial"/>
          <w:color w:val="222222"/>
          <w:sz w:val="22"/>
          <w:szCs w:val="22"/>
        </w:rPr>
        <w:t xml:space="preserve"> County, North Carolina, and the parties hereby submit to the personal jurisdiction of such courts.</w:t>
      </w:r>
    </w:p>
    <w:p>
      <w:pPr>
        <w:spacing w:after="100" w:before="280"/>
      </w:pPr>
      <w:r>
        <w:rPr>
          <w:rFonts w:ascii="Arial" w:cs="Arial" w:eastAsia="Arial" w:hAnsi="Arial"/>
          <w:b/>
          <w:bCs/>
          <w:color w:val="1B3A5C"/>
          <w:sz w:val="22"/>
          <w:szCs w:val="22"/>
        </w:rPr>
        <w:t>10.  Waiver of Presentment</w:t>
      </w:r>
    </w:p>
    <w:p>
      <w:pPr>
        <w:spacing w:after="80" w:before="80"/>
      </w:pPr>
      <w:r>
        <w:rPr>
          <w:rFonts w:ascii="Arial" w:cs="Arial" w:eastAsia="Arial" w:hAnsi="Arial"/>
          <w:color w:val="222222"/>
          <w:sz w:val="22"/>
          <w:szCs w:val="22"/>
        </w:rPr>
        <w:t xml:space="preserve">The Borrower hereby waives presentment for payment, demand, notice of dishonor, protest, and notice of protest with respect to this Note.</w:t>
      </w:r>
    </w:p>
    <w:p>
      <w:pPr>
        <w:spacing w:after="100" w:before="280"/>
      </w:pPr>
      <w:r>
        <w:rPr>
          <w:rFonts w:ascii="Arial" w:cs="Arial" w:eastAsia="Arial" w:hAnsi="Arial"/>
          <w:b/>
          <w:bCs/>
          <w:color w:val="1B3A5C"/>
          <w:sz w:val="22"/>
          <w:szCs w:val="22"/>
        </w:rPr>
        <w:t>11.  Entire Agreement; Amendment</w:t>
      </w:r>
    </w:p>
    <w:p>
      <w:pPr>
        <w:spacing w:after="80" w:before="80"/>
      </w:pPr>
      <w:r>
        <w:rPr>
          <w:rFonts w:ascii="Arial" w:cs="Arial" w:eastAsia="Arial" w:hAnsi="Arial"/>
          <w:color w:val="222222"/>
          <w:sz w:val="22"/>
          <w:szCs w:val="22"/>
        </w:rPr>
        <w:t xml:space="preserve">This Note, together with any exhibits attached hereto, constitutes the entire agreement between the parties with respect to the subject matter hereof and supersedes all prior negotiations, representations, and understandings. This Note may not be amended, modified, or waived except by a written instrument signed by both parties.</w:t>
      </w:r>
    </w:p>
    <w:p>
      <w:pPr>
        <w:spacing w:after="100" w:before="280"/>
      </w:pPr>
      <w:r>
        <w:rPr>
          <w:rFonts w:ascii="Arial" w:cs="Arial" w:eastAsia="Arial" w:hAnsi="Arial"/>
          <w:b/>
          <w:bCs/>
          <w:color w:val="1B3A5C"/>
          <w:sz w:val="22"/>
          <w:szCs w:val="22"/>
        </w:rPr>
        <w:t>12.  Severability</w:t>
      </w:r>
    </w:p>
    <w:p>
      <w:pPr>
        <w:spacing w:after="80" w:before="80"/>
      </w:pPr>
      <w:r>
        <w:rPr>
          <w:rFonts w:ascii="Arial" w:cs="Arial" w:eastAsia="Arial" w:hAnsi="Arial"/>
          <w:color w:val="222222"/>
          <w:sz w:val="22"/>
          <w:szCs w:val="22"/>
        </w:rPr>
        <w:t xml:space="preserve">If any provision of this Note is held to be invalid, illegal, or unenforceable, the remaining provisions shall continue in full force and effect.</w:t>
      </w:r>
    </w:p>
    <w:p>
      <w:pPr>
        <w:spacing w:after="0" w:before="280"/>
      </w:pPr>
      <w:r>
        <w:t xml:space="preserve"/>
      </w:r>
    </w:p>
    <w:p>
      <w:pPr>
        <w:pBdr>
          <w:bottom w:val="single" w:color="CCCCCC" w:sz="4" w:space="1"/>
        </w:pBdr>
        <w:spacing w:after="160" w:before="160"/>
      </w:pPr>
      <w:r>
        <w:t xml:space="preserve"/>
      </w:r>
    </w:p>
    <w:p>
      <w:pPr>
        <w:spacing w:after="120" w:before="0"/>
      </w:pPr>
      <w:r>
        <w:rPr>
          <w:rFonts w:ascii="Arial" w:cs="Arial" w:eastAsia="Arial" w:hAnsi="Arial"/>
          <w:b/>
          <w:bCs/>
          <w:caps/>
          <w:color w:val="1B3A5C"/>
          <w:sz w:val="23"/>
          <w:szCs w:val="23"/>
        </w:rPr>
        <w:t xml:space="preserve">EXECUTION</w:t>
      </w:r>
    </w:p>
    <w:p>
      <w:pPr>
        <w:spacing w:after="80" w:before="80"/>
      </w:pPr>
      <w:r>
        <w:rPr>
          <w:rFonts w:ascii="Arial" w:cs="Arial" w:eastAsia="Arial" w:hAnsi="Arial"/>
          <w:color w:val="222222"/>
          <w:sz w:val="22"/>
          <w:szCs w:val="22"/>
        </w:rPr>
        <w:t xml:space="preserve">IN WITNESS WHEREOF, the parties have executed this Promissory Note as of the date first written above.</w:t>
      </w:r>
    </w:p>
    <w:p>
      <w:pPr>
        <w:spacing w:after="0" w:before="160"/>
      </w:pPr>
      <w:r>
        <w:t xml:space="preserve"/>
      </w:r>
    </w:p>
    <w:p>
      <w:pPr>
        <w:spacing w:after="120" w:before="0"/>
      </w:pPr>
      <w:r>
        <w:rPr>
          <w:rFonts w:ascii="Arial" w:cs="Arial" w:eastAsia="Arial" w:hAnsi="Arial"/>
          <w:b/>
          <w:bCs/>
          <w:color w:val="1B3A5C"/>
          <w:sz w:val="21"/>
          <w:szCs w:val="21"/>
        </w:rPr>
        <w:t xml:space="preserve">BORROWER (S-CORPORATION):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W w:type="dxa" w:w="4440"/>
            <w:tcBorders>
              <w:top w:val="none" w:color="FFFFFF" w:sz="0"/>
              <w:left w:val="none" w:color="FFFFFF" w:sz="0"/>
              <w:bottom w:val="none" w:color="FFFFFF" w:sz="0"/>
              <w:right w:val="none" w:color="FFFFFF" w:sz="0"/>
            </w:tcBorders>
            <w:tcMar>
              <w:top w:type="dxa" w:w="0"/>
              <w:left w:type="dxa" w:w="0"/>
              <w:bottom w:type="dxa" w:w="0"/>
              <w:right w:type="dxa" w:w="0"/>
            </w:tcMar>
          </w:tcPr>
          <w:p>
            <w:pPr>
              <w:pBdr>
                <w:bottom w:val="single" w:color="333333" w:sz="4" w:space="1"/>
              </w:pBdr>
              <w:spacing w:after="60" w:before="600"/>
            </w:pPr>
            <w:r>
              <w:rPr>
                <w:rFonts w:ascii="Arial" w:cs="Arial" w:eastAsia="Arial" w:hAnsi="Arial"/>
                <w:sz w:val="22"/>
                <w:szCs w:val="22"/>
              </w:rPr>
              <w:t xml:space="preserve"> </w:t>
            </w:r>
          </w:p>
          <w:p>
            <w:pPr>
              <w:spacing w:after="0" w:before="40"/>
            </w:pPr>
            <w:r>
              <w:rPr>
                <w:rFonts w:ascii="Arial" w:cs="Arial" w:eastAsia="Arial" w:hAnsi="Arial"/>
                <w:color w:val="666666"/>
                <w:sz w:val="20"/>
                <w:szCs w:val="20"/>
              </w:rPr>
              <w:t xml:space="preserve">Authorized Signature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0"/>
              <w:left w:type="dxa" w:w="0"/>
              <w:bottom w:type="dxa" w:w="0"/>
              <w:right w:type="dxa" w:w="0"/>
            </w:tcMar>
          </w:tcPr>
          <w:p>
            <w:pPr>
              <w:pBdr>
                <w:bottom w:val="single" w:color="333333" w:sz="4" w:space="1"/>
              </w:pBdr>
              <w:spacing w:after="60" w:before="600"/>
            </w:pPr>
            <w:r>
              <w:rPr>
                <w:rFonts w:ascii="Arial" w:cs="Arial" w:eastAsia="Arial" w:hAnsi="Arial"/>
                <w:sz w:val="22"/>
                <w:szCs w:val="22"/>
              </w:rPr>
              <w:t xml:space="preserve"> </w:t>
            </w:r>
          </w:p>
          <w:p>
            <w:pPr>
              <w:spacing w:after="0" w:before="40"/>
            </w:pPr>
            <w:r>
              <w:rPr>
                <w:rFonts w:ascii="Arial" w:cs="Arial" w:eastAsia="Arial" w:hAnsi="Arial"/>
                <w:color w:val="666666"/>
                <w:sz w:val="20"/>
                <w:szCs w:val="20"/>
              </w:rPr>
              <w:t xml:space="preserve">Date</w:t>
            </w:r>
          </w:p>
        </w:tc>
      </w:tr>
      <w:tr>
        <w:tc>
          <w:tcPr>
            <w:tcW w:type="dxa" w:w="4440"/>
            <w:tcBorders>
              <w:top w:val="none" w:color="FFFFFF" w:sz="0"/>
              <w:left w:val="none" w:color="FFFFFF" w:sz="0"/>
              <w:bottom w:val="none" w:color="FFFFFF" w:sz="0"/>
              <w:right w:val="none" w:color="FFFFFF" w:sz="0"/>
            </w:tcBorders>
            <w:tcMar>
              <w:top w:type="dxa" w:w="0"/>
              <w:left w:type="dxa" w:w="0"/>
              <w:bottom w:type="dxa" w:w="0"/>
              <w:right w:type="dxa" w:w="0"/>
            </w:tcMar>
          </w:tcPr>
          <w:p>
            <w:pPr>
              <w:pBdr>
                <w:bottom w:val="single" w:color="333333" w:sz="4" w:space="1"/>
              </w:pBdr>
              <w:spacing w:after="60" w:before="400"/>
            </w:pPr>
            <w:r>
              <w:rPr>
                <w:rFonts w:ascii="Arial" w:cs="Arial" w:eastAsia="Arial" w:hAnsi="Arial"/>
                <w:sz w:val="22"/>
                <w:szCs w:val="22"/>
              </w:rPr>
              <w:t xml:space="preserve"> </w:t>
            </w:r>
          </w:p>
          <w:p>
            <w:pPr>
              <w:spacing w:after="0" w:before="40"/>
            </w:pPr>
            <w:r>
              <w:rPr>
                <w:rFonts w:ascii="Arial" w:cs="Arial" w:eastAsia="Arial" w:hAnsi="Arial"/>
                <w:color w:val="666666"/>
                <w:sz w:val="20"/>
                <w:szCs w:val="20"/>
              </w:rPr>
              <w:t xml:space="preserve">Printed Name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0"/>
              <w:left w:type="dxa" w:w="0"/>
              <w:bottom w:type="dxa" w:w="0"/>
              <w:right w:type="dxa" w:w="0"/>
            </w:tcMar>
          </w:tcPr>
          <w:p>
            <w:pPr>
              <w:pBdr>
                <w:bottom w:val="single" w:color="333333" w:sz="4" w:space="1"/>
              </w:pBdr>
              <w:spacing w:after="60" w:before="400"/>
            </w:pPr>
            <w:r>
              <w:rPr>
                <w:rFonts w:ascii="Arial" w:cs="Arial" w:eastAsia="Arial" w:hAnsi="Arial"/>
                <w:sz w:val="22"/>
                <w:szCs w:val="22"/>
              </w:rPr>
              <w:t xml:space="preserve"> </w:t>
            </w:r>
          </w:p>
          <w:p>
            <w:pPr>
              <w:spacing w:after="0" w:before="40"/>
            </w:pPr>
            <w:r>
              <w:rPr>
                <w:rFonts w:ascii="Arial" w:cs="Arial" w:eastAsia="Arial" w:hAnsi="Arial"/>
                <w:color w:val="666666"/>
                <w:sz w:val="20"/>
                <w:szCs w:val="20"/>
              </w:rPr>
              <w:t xml:space="preserve">Title</w:t>
            </w:r>
          </w:p>
        </w:tc>
      </w:tr>
    </w:tbl>
    <w:p>
      <w:pPr>
        <w:spacing w:after="0" w:before="360"/>
      </w:pPr>
      <w:r>
        <w:t xml:space="preserve"/>
      </w:r>
    </w:p>
    <w:p>
      <w:pPr>
        <w:spacing w:after="120" w:before="0"/>
      </w:pPr>
      <w:r>
        <w:rPr>
          <w:rFonts w:ascii="Arial" w:cs="Arial" w:eastAsia="Arial" w:hAnsi="Arial"/>
          <w:b/>
          <w:bCs/>
          <w:color w:val="1B3A5C"/>
          <w:sz w:val="21"/>
          <w:szCs w:val="21"/>
        </w:rPr>
        <w:t xml:space="preserve">LENDER (SHAREHOLDER):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W w:type="dxa" w:w="4440"/>
            <w:tcBorders>
              <w:top w:val="none" w:color="FFFFFF" w:sz="0"/>
              <w:left w:val="none" w:color="FFFFFF" w:sz="0"/>
              <w:bottom w:val="none" w:color="FFFFFF" w:sz="0"/>
              <w:right w:val="none" w:color="FFFFFF" w:sz="0"/>
            </w:tcBorders>
            <w:tcMar>
              <w:top w:type="dxa" w:w="0"/>
              <w:left w:type="dxa" w:w="0"/>
              <w:bottom w:type="dxa" w:w="0"/>
              <w:right w:type="dxa" w:w="0"/>
            </w:tcMar>
          </w:tcPr>
          <w:p>
            <w:pPr>
              <w:pBdr>
                <w:bottom w:val="single" w:color="333333" w:sz="4" w:space="1"/>
              </w:pBdr>
              <w:spacing w:after="60" w:before="600"/>
            </w:pPr>
            <w:r>
              <w:rPr>
                <w:rFonts w:ascii="Arial" w:cs="Arial" w:eastAsia="Arial" w:hAnsi="Arial"/>
                <w:sz w:val="22"/>
                <w:szCs w:val="22"/>
              </w:rPr>
              <w:t xml:space="preserve"> </w:t>
            </w:r>
          </w:p>
          <w:p>
            <w:pPr>
              <w:spacing w:after="0" w:before="40"/>
            </w:pPr>
            <w:r>
              <w:rPr>
                <w:rFonts w:ascii="Arial" w:cs="Arial" w:eastAsia="Arial" w:hAnsi="Arial"/>
                <w:color w:val="666666"/>
                <w:sz w:val="20"/>
                <w:szCs w:val="20"/>
              </w:rPr>
              <w:t xml:space="preserve">Lender Signature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0"/>
              <w:left w:type="dxa" w:w="0"/>
              <w:bottom w:type="dxa" w:w="0"/>
              <w:right w:type="dxa" w:w="0"/>
            </w:tcMar>
          </w:tcPr>
          <w:p>
            <w:pPr>
              <w:pBdr>
                <w:bottom w:val="single" w:color="333333" w:sz="4" w:space="1"/>
              </w:pBdr>
              <w:spacing w:after="60" w:before="600"/>
            </w:pPr>
            <w:r>
              <w:rPr>
                <w:rFonts w:ascii="Arial" w:cs="Arial" w:eastAsia="Arial" w:hAnsi="Arial"/>
                <w:sz w:val="22"/>
                <w:szCs w:val="22"/>
              </w:rPr>
              <w:t xml:space="preserve"> </w:t>
            </w:r>
          </w:p>
          <w:p>
            <w:pPr>
              <w:spacing w:after="0" w:before="40"/>
            </w:pPr>
            <w:r>
              <w:rPr>
                <w:rFonts w:ascii="Arial" w:cs="Arial" w:eastAsia="Arial" w:hAnsi="Arial"/>
                <w:color w:val="666666"/>
                <w:sz w:val="20"/>
                <w:szCs w:val="20"/>
              </w:rPr>
              <w:t xml:space="preserve">Date</w:t>
            </w:r>
          </w:p>
        </w:tc>
      </w:tr>
      <w:tr>
        <w:tc>
          <w:tcPr>
            <w:tcW w:type="dxa" w:w="4440"/>
            <w:tcBorders>
              <w:top w:val="none" w:color="FFFFFF" w:sz="0"/>
              <w:left w:val="none" w:color="FFFFFF" w:sz="0"/>
              <w:bottom w:val="none" w:color="FFFFFF" w:sz="0"/>
              <w:right w:val="none" w:color="FFFFFF" w:sz="0"/>
            </w:tcBorders>
            <w:tcMar>
              <w:top w:type="dxa" w:w="0"/>
              <w:left w:type="dxa" w:w="0"/>
              <w:bottom w:type="dxa" w:w="0"/>
              <w:right w:type="dxa" w:w="0"/>
            </w:tcMar>
          </w:tcPr>
          <w:p>
            <w:pPr>
              <w:pBdr>
                <w:bottom w:val="single" w:color="333333" w:sz="4" w:space="1"/>
              </w:pBdr>
              <w:spacing w:after="60" w:before="400"/>
            </w:pPr>
            <w:r>
              <w:rPr>
                <w:rFonts w:ascii="Arial" w:cs="Arial" w:eastAsia="Arial" w:hAnsi="Arial"/>
                <w:sz w:val="22"/>
                <w:szCs w:val="22"/>
              </w:rPr>
              <w:t xml:space="preserve"> </w:t>
            </w:r>
          </w:p>
          <w:p>
            <w:pPr>
              <w:spacing w:after="0" w:before="40"/>
            </w:pPr>
            <w:r>
              <w:rPr>
                <w:rFonts w:ascii="Arial" w:cs="Arial" w:eastAsia="Arial" w:hAnsi="Arial"/>
                <w:color w:val="666666"/>
                <w:sz w:val="20"/>
                <w:szCs w:val="20"/>
              </w:rPr>
              <w:t xml:space="preserve">Printed Name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0"/>
              <w:left w:type="dxa" w:w="0"/>
              <w:bottom w:type="dxa" w:w="0"/>
              <w:right w:type="dxa" w:w="0"/>
            </w:tcMar>
          </w:tcPr>
          <w:p>
            <w:pPr>
              <w:pBdr>
                <w:bottom w:val="single" w:color="333333" w:sz="4" w:space="1"/>
              </w:pBdr>
              <w:spacing w:after="60" w:before="400"/>
            </w:pPr>
            <w:r>
              <w:rPr>
                <w:rFonts w:ascii="Arial" w:cs="Arial" w:eastAsia="Arial" w:hAnsi="Arial"/>
                <w:sz w:val="22"/>
                <w:szCs w:val="22"/>
              </w:rPr>
              <w:t xml:space="preserve"> </w:t>
            </w:r>
          </w:p>
          <w:p>
            <w:pPr>
              <w:spacing w:after="0" w:before="40"/>
            </w:pPr>
            <w:r>
              <w:rPr>
                <w:rFonts w:ascii="Arial" w:cs="Arial" w:eastAsia="Arial" w:hAnsi="Arial"/>
                <w:color w:val="666666"/>
                <w:sz w:val="20"/>
                <w:szCs w:val="20"/>
              </w:rPr>
              <w:t xml:space="preserve">Address</w:t>
            </w:r>
          </w:p>
        </w:tc>
      </w:tr>
    </w:tbl>
    <w:p>
      <w:pPr>
        <w:spacing w:after="0" w:before="360"/>
      </w:pPr>
      <w:r>
        <w:t xml:space="preserve"/>
      </w:r>
    </w:p>
    <w:p>
      <w:pPr>
        <w:pBdr>
          <w:bottom w:val="single" w:color="CCCCCC" w:sz="4" w:space="1"/>
        </w:pBdr>
        <w:spacing w:after="160" w:before="160"/>
      </w:pPr>
      <w:r>
        <w:t xml:space="preserve"/>
      </w:r>
    </w:p>
    <w:p>
      <w:pPr>
        <w:spacing w:after="120" w:before="0"/>
      </w:pPr>
      <w:r>
        <w:rPr>
          <w:rFonts w:ascii="Arial" w:cs="Arial" w:eastAsia="Arial" w:hAnsi="Arial"/>
          <w:b/>
          <w:bCs/>
          <w:caps/>
          <w:color w:val="1B3A5C"/>
          <w:sz w:val="23"/>
          <w:szCs w:val="23"/>
        </w:rPr>
        <w:t xml:space="preserve">EXHIBIT A — EVIDENCE OF TRANSFER</w:t>
      </w:r>
    </w:p>
    <w:p>
      <w:pPr>
        <w:spacing w:after="80" w:before="80"/>
      </w:pPr>
      <w:r>
        <w:rPr>
          <w:rFonts w:ascii="Arial" w:cs="Arial" w:eastAsia="Arial" w:hAnsi="Arial"/>
          <w:color w:val="222222"/>
          <w:sz w:val="22"/>
          <w:szCs w:val="22"/>
        </w:rPr>
        <w:t xml:space="preserve">Attach hereto evidence of the actual cash transfer of Principal from Lender to Borrower. Acceptable documentation includes:</w:t>
      </w:r>
    </w:p>
    <w:p>
      <w:pPr>
        <w:spacing w:after="0" w:before="60"/>
      </w:pPr>
      <w:r>
        <w:t xml:space="preserve"/>
      </w:r>
    </w:p>
    <w:p>
      <w:pPr>
        <w:pStyle w:val="ListParagraph"/>
        <w:numPr>
          <w:ilvl w:val="0"/>
          <w:numId w:val="2"/>
        </w:numPr>
        <w:spacing w:after="60" w:before="60"/>
      </w:pPr>
      <w:r>
        <w:rPr>
          <w:rFonts w:ascii="Arial" w:cs="Arial" w:eastAsia="Arial" w:hAnsi="Arial"/>
          <w:color w:val="222222"/>
          <w:sz w:val="22"/>
          <w:szCs w:val="22"/>
        </w:rPr>
        <w:t xml:space="preserve">Copy of cancelled check or bank-issued check image</w:t>
      </w:r>
    </w:p>
    <w:p>
      <w:pPr>
        <w:pStyle w:val="ListParagraph"/>
        <w:numPr>
          <w:ilvl w:val="0"/>
          <w:numId w:val="2"/>
        </w:numPr>
        <w:spacing w:after="60" w:before="60"/>
      </w:pPr>
      <w:r>
        <w:rPr>
          <w:rFonts w:ascii="Arial" w:cs="Arial" w:eastAsia="Arial" w:hAnsi="Arial"/>
          <w:color w:val="222222"/>
          <w:sz w:val="22"/>
          <w:szCs w:val="22"/>
        </w:rPr>
        <w:t xml:space="preserve">Wire transfer confirmation or ACH transaction record from Lender’s financial institution</w:t>
      </w:r>
    </w:p>
    <w:p>
      <w:pPr>
        <w:pStyle w:val="ListParagraph"/>
        <w:numPr>
          <w:ilvl w:val="0"/>
          <w:numId w:val="2"/>
        </w:numPr>
        <w:spacing w:after="60" w:before="60"/>
      </w:pPr>
      <w:r>
        <w:rPr>
          <w:rFonts w:ascii="Arial" w:cs="Arial" w:eastAsia="Arial" w:hAnsi="Arial"/>
          <w:color w:val="222222"/>
          <w:sz w:val="22"/>
          <w:szCs w:val="22"/>
        </w:rPr>
        <w:t xml:space="preserve">Bank statement excerpt showing the debit from Lender’s account and the corresponding credit to the Borrower’s account, with both accounts identified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3E3" w:val="clear"/>
            <w:tcMar>
              <w:top w:type="dxa" w:w="160"/>
              <w:left w:type="dxa" w:w="240"/>
              <w:bottom w:type="dxa" w:w="160"/>
              <w:right w:type="dxa" w:w="240"/>
            </w:tcMar>
          </w:tcPr>
          <w:p>
            <w:pPr>
              <w:spacing w:after="0" w:before="0"/>
            </w:pPr>
            <w:r>
              <w:rPr>
                <w:rFonts w:ascii="Arial" w:cs="Arial" w:eastAsia="Arial" w:hAnsi="Arial"/>
                <w:b/>
                <w:bCs/>
                <w:color w:val="C9942A"/>
                <w:sz w:val="21"/>
                <w:szCs w:val="21"/>
              </w:rPr>
              <w:t xml:space="preserve">IMPORTANT:  </w:t>
            </w:r>
            <w:r>
              <w:rPr>
                <w:rFonts w:ascii="Arial" w:cs="Arial" w:eastAsia="Arial" w:hAnsi="Arial"/>
                <w:color w:val="333333"/>
                <w:sz w:val="21"/>
                <w:szCs w:val="21"/>
              </w:rPr>
              <w:t xml:space="preserve">Transfers between accounts held by the same individual (e.g., personal checking to business checking) should be documented with statements from both accounts showing the matching debit and credit on the same date. Retain these records permanently in the corporate records book.</w:t>
            </w:r>
          </w:p>
        </w:tc>
      </w:tr>
    </w:tbl>
    <w:p>
      <w:pPr>
        <w:spacing w:after="0" w:before="300"/>
      </w:pPr>
      <w:r>
        <w:t xml:space="preserve"/>
      </w:r>
    </w:p>
    <w:p>
      <w:pPr>
        <w:pBdr>
          <w:top w:val="dashed" w:color="AAAAAA" w:sz="4" w:space="1"/>
          <w:bottom w:val="dashed" w:color="AAAAAA" w:sz="4" w:space="1"/>
        </w:pBdr>
        <w:spacing w:after="160" w:before="160"/>
        <w:jc w:val="center"/>
      </w:pPr>
      <w:r>
        <w:rPr>
          <w:rFonts w:ascii="Arial" w:cs="Arial" w:eastAsia="Arial" w:hAnsi="Arial"/>
          <w:i/>
          <w:iCs/>
          <w:color w:val="666666"/>
          <w:sz w:val="22"/>
          <w:szCs w:val="22"/>
        </w:rPr>
        <w:t xml:space="preserve">[ Attach transfer documentation here ]</w:t>
      </w:r>
    </w:p>
    <w:p>
      <w:pPr>
        <w:spacing w:after="0" w:before="200"/>
      </w:pPr>
      <w:r>
        <w:t xml:space="preserve"/>
      </w:r>
    </w:p>
    <w:p>
      <w:pPr>
        <w:jc w:val="center"/>
      </w:pPr>
      <w:r>
        <w:rPr>
          <w:rFonts w:ascii="Arial" w:cs="Arial" w:eastAsia="Arial" w:hAnsi="Arial"/>
          <w:i/>
          <w:iCs/>
          <w:color w:val="666666"/>
          <w:sz w:val="18"/>
          <w:szCs w:val="18"/>
        </w:rPr>
        <w:t xml:space="preserve">Template prepared by JJ&amp;A Accounting Services — Greensboro, NC</w:t>
      </w:r>
    </w:p>
    <w:p>
      <w:pPr>
        <w:spacing w:after="0" w:before="40"/>
        <w:jc w:val="center"/>
      </w:pPr>
      <w:r>
        <w:rPr>
          <w:rFonts w:ascii="Arial" w:cs="Arial" w:eastAsia="Arial" w:hAnsi="Arial"/>
          <w:i/>
          <w:iCs/>
          <w:color w:val="666666"/>
          <w:sz w:val="18"/>
          <w:szCs w:val="18"/>
        </w:rPr>
        <w:t xml:space="preserve">This template does not constitute legal advice. Consult qualified legal counsel before executing.</w:t>
      </w:r>
    </w:p>
    <w:sectPr>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942A" w:sz="4" w:space="1"/>
      </w:pBdr>
      <w:spacing w:after="0" w:before="120"/>
      <w:jc w:val="center"/>
    </w:pPr>
    <w:r>
      <w:rPr>
        <w:rFonts w:ascii="Arial" w:cs="Arial" w:eastAsia="Arial" w:hAnsi="Arial"/>
        <w:color w:val="666666"/>
        <w:sz w:val="18"/>
        <w:szCs w:val="18"/>
      </w:rPr>
      <w:t xml:space="preserve">Shareholder Promissory Note  —  </w:t>
    </w: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666666"/>
        <w:sz w:val="18"/>
        <w:szCs w:val="18"/>
      </w:rPr>
      <w:t xml:space="preserve">  —  Template prepared by JJ&amp;A Accounting Services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1B3A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2026-06-01T21:01:42.707Z</dcterms:created>
  <dcterms:modified xsi:type="dcterms:W3CDTF">2026-06-01T21:01:42.722Z</dcterms:modified>
</cp:coreProperties>
</file>

<file path=docProps/custom.xml><?xml version="1.0" encoding="utf-8"?>
<Properties xmlns="http://schemas.openxmlformats.org/officeDocument/2006/custom-properties" xmlns:vt="http://schemas.openxmlformats.org/officeDocument/2006/docPropsVTypes"/>
</file>